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2001, c. 550, §§C3,4 (AMD). PL 2001, c. 550, §C29 (AFF). PL 2009, c. 450, §1 (RP).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