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w:t>
        <w:t xml:space="preserve">.  </w:t>
      </w:r>
      <w:r>
        <w:rPr>
          <w:b/>
        </w:rPr>
        <w:t xml:space="preserve">Business forbidden until certificate filed</w:t>
      </w:r>
    </w:p>
    <w:p>
      <w:pPr>
        <w:jc w:val="both"/>
        <w:spacing w:before="100" w:after="100"/>
        <w:ind w:start="360"/>
        <w:ind w:firstLine="360"/>
      </w:pPr>
      <w:r>
        <w:rPr/>
      </w:r>
      <w:r>
        <w:rPr/>
      </w:r>
      <w:r>
        <w:t xml:space="preserve">No corporation created by special act of the Legislature, municipal corporations excepted, shall carry on any business whatsoever before filing in the office of the Secretary of State the certificate of organization provided by </w:t>
      </w:r>
      <w:r>
        <w:t>section 43</w:t>
      </w:r>
      <w:r>
        <w:t xml:space="preserve">. Whoever, whether named in the act of the Legislature or not, conducts and carries on any business whatsoever in the name of such corporation before said certificate is filed shall be personally and individually liable for all contracts and debts of said corporation contracted prior to the filing of said certificate. This section shall apply to all individuals granted special rights and privileges by act of the Legislature.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 Business forbidden until certificate filed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 Business forbidden until certificate filed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§45. BUSINESS FORBIDDEN UNTIL CERTIFICATE FILED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