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5301</w:t>
        <w:t xml:space="preserve">.  </w:t>
      </w:r>
      <w:r>
        <w:rPr>
          <w:b/>
        </w:rPr>
        <w:t xml:space="preserve">Concurrent jurisdiction</w:t>
      </w:r>
    </w:p>
    <w:p>
      <w:pPr>
        <w:jc w:val="both"/>
        <w:spacing w:before="100" w:after="100"/>
        <w:ind w:start="360"/>
        <w:ind w:firstLine="360"/>
      </w:pPr>
      <w:r>
        <w:rPr/>
      </w:r>
      <w:r>
        <w:rPr/>
      </w:r>
      <w:r>
        <w:t xml:space="preserve">The Supreme Judicial Court and the Superior Court shall have and exercise concurrent original jurisdiction in proceedings in habeas corpus, prohibition, error, mandamus, quo warranto and certiorari.</w:t>
      </w:r>
      <w:r>
        <w:t xml:space="preserve">  </w:t>
      </w:r>
      <w:r xmlns:wp="http://schemas.openxmlformats.org/drawingml/2010/wordprocessingDrawing" xmlns:w15="http://schemas.microsoft.com/office/word/2012/wordml">
        <w:rPr>
          <w:rFonts w:ascii="Arial" w:hAnsi="Arial" w:cs="Arial"/>
          <w:sz w:val="22"/>
          <w:szCs w:val="22"/>
        </w:rPr>
        <w:t xml:space="preserve">[PL 1967, c. 441,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