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Replevin actions</w:t>
      </w:r>
    </w:p>
    <w:p>
      <w:pPr>
        <w:jc w:val="both"/>
        <w:spacing w:before="100" w:after="100"/>
        <w:ind w:start="360"/>
        <w:ind w:firstLine="360"/>
      </w:pPr>
      <w:r>
        <w:rPr/>
      </w:r>
      <w:r>
        <w:rPr/>
      </w:r>
      <w:r>
        <w:t xml:space="preserve">In actions of replevin commenced in the Superior Court, when the jury finds that each party owned a part of the property, they shall find and state in their verdict the value of the part owned by the plaintiff when replevied without regard to the value as estimated in the replevin bond. If such value does not exceed $20, the plaintiff recovers for costs only 1/4 part of such value.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§1505. Replevin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Replevin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§1505. REPLEVIN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