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§158-B. Limited liability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§158-B. Limited liability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§158-B. LIMITED LIABILITY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