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§164-A. Maine Assistance Program for Lawyers;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§164-A. Maine Assistance Program for Lawyers;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§164-A. MAINE ASSISTANCE PROGRAM FOR LAWYERS;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