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Defense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ense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1. DEFENSE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