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Attachment of right to conveyance effects premises</w:t>
      </w:r>
    </w:p>
    <w:p>
      <w:pPr>
        <w:jc w:val="both"/>
        <w:spacing w:before="100" w:after="100"/>
        <w:ind w:start="360"/>
        <w:ind w:firstLine="360"/>
      </w:pPr>
      <w:r>
        <w:rPr/>
      </w:r>
      <w:r>
        <w:rPr/>
      </w:r>
      <w:r>
        <w:t xml:space="preserve">When the right of a debtor to a conveyance of real estate by bond or contract is attached, and a deed is made to the debtor during its existence, the attachment takes effect upon the premises, which may be levied on as in other cases.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§1955. Attachment of right to conveyance effects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Attachment of right to conveyance effects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§1955. ATTACHMENT OF RIGHT TO CONVEYANCE EFFECTS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