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Levy on leasehold; disposal of rent</w:t>
      </w:r>
    </w:p>
    <w:p>
      <w:pPr>
        <w:jc w:val="both"/>
        <w:spacing w:before="100" w:after="100"/>
        <w:ind w:start="360"/>
        <w:ind w:firstLine="360"/>
      </w:pPr>
      <w:r>
        <w:rPr/>
      </w:r>
      <w:r>
        <w:rPr/>
      </w:r>
      <w:r>
        <w:t xml:space="preserve">When the levy is made on the whole of an estate under lease, the rent shall be paid to the creditor from the time of the levy. When made on part of it, the appraisers shall determine what portion of the rent is to be paid to him, and it shall be paid to him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§2012. Levy on leasehold; disposal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Levy on leasehold; disposal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§2012. LEVY ON LEASEHOLD; DISPOSAL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