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Failure to release after tender; recovery of land</w:t>
      </w:r>
    </w:p>
    <w:p>
      <w:pPr>
        <w:jc w:val="both"/>
        <w:spacing w:before="100" w:after="100"/>
        <w:ind w:start="360"/>
        <w:ind w:firstLine="360"/>
      </w:pPr>
      <w:r>
        <w:rPr/>
      </w:r>
      <w:r>
        <w:rPr/>
      </w:r>
      <w:r>
        <w:t xml:space="preserve">If the creditor does not release the premises within 10 days after payment or tender of the amount due, the debtor may recover the same by a real action on his own seizin; but before judgment is entered he must bring into court, for the creditor, the money tendered.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Failure to release after tender; recovery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Failure to release after tender; recovery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§2103. FAILURE TO RELEASE AFTER TENDER; RECOVERY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