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Attachment and sale of rights to redeem</w:t>
      </w:r>
    </w:p>
    <w:p>
      <w:pPr>
        <w:jc w:val="both"/>
        <w:spacing w:before="100" w:after="100"/>
        <w:ind w:start="360"/>
        <w:ind w:firstLine="360"/>
      </w:pPr>
      <w:r>
        <w:rPr/>
      </w:r>
      <w:r>
        <w:rPr/>
      </w:r>
      <w:r>
        <w:t xml:space="preserve">The right of a debtor to redeem from a sale or from a levy by appraisement may be attached and sold on execution, as an equity of redemption may be, and the parties have the same rights and remedies. Attachments of such estate or equity of redemption, made before such levy or sale, are effectual on such right of redeeming, in the order in which they were made, in preference to attachments made subsequent to such levy or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§2252. Attachment and sale of rights to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Attachment and sale of rights to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§2252. ATTACHMENT AND SALE OF RIGHTS TO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