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2632</w:t>
        <w:t xml:space="preserve">.  </w:t>
      </w:r>
      <w:r>
        <w:rPr>
          <w:b/>
        </w:rPr>
        <w:t xml:space="preserve">Discharge no bar to principal's claim</w:t>
      </w:r>
    </w:p>
    <w:p>
      <w:pPr>
        <w:jc w:val="both"/>
        <w:spacing w:before="100" w:after="100"/>
        <w:ind w:start="360"/>
        <w:ind w:firstLine="360"/>
      </w:pPr>
      <w:r>
        <w:rPr/>
      </w:r>
      <w:r>
        <w:rPr/>
      </w:r>
      <w:r>
        <w:t xml:space="preserve">If an alleged trustee is discharged, the judgment shall be no bar to an action brought by the principal defendant against him for the same demand.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§2632. Discharge no bar to principal's claim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§2632. Discharge no bar to principal's claim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§2632. DISCHARGE NO BAR TO PRINCIPAL'S CLAIM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