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False disclosure</w:t>
      </w:r>
    </w:p>
    <w:p>
      <w:pPr>
        <w:jc w:val="both"/>
        <w:spacing w:before="100" w:after="100"/>
        <w:ind w:start="360"/>
        <w:ind w:firstLine="360"/>
      </w:pPr>
      <w:r>
        <w:rPr/>
      </w:r>
      <w:r>
        <w:rPr/>
      </w:r>
      <w:r>
        <w:t xml:space="preserve">Whoever, summoned as trustee, upon his examination willfully and knowingly answers falsely, shall be deemed guilty of perjury, and shall pay to the plaintiff in the action so much of the judgment recovered against the principal defendant as remains unsatisfied, with interest and costs,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False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False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§2702. FALSE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