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§2751. DEMANDS ASSIGNED AS SECURITY TRUSTEED AND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