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3122</w:t>
        <w:t xml:space="preserve">.  </w:t>
      </w:r>
      <w:r>
        <w:rPr>
          <w:b/>
        </w:rPr>
        <w:t xml:space="preserve">Subpoenas</w:t>
      </w:r>
    </w:p>
    <w:p>
      <w:pPr>
        <w:jc w:val="both"/>
        <w:spacing w:before="100" w:after="0"/>
        <w:ind w:start="360"/>
        <w:ind w:firstLine="360"/>
      </w:pPr>
      <w:r>
        <w:rPr>
          <w:b/>
        </w:rPr>
        <w:t>1</w:t>
        <w:t xml:space="preserve">.  </w:t>
      </w:r>
      <w:r>
        <w:rPr>
          <w:b/>
        </w:rPr>
        <w:t xml:space="preserve">Disclosure subpoena.</w:t>
        <w:t xml:space="preserve"> </w:t>
      </w:r>
      <w:r>
        <w:t xml:space="preserve"> </w:t>
      </w:r>
      <w:r>
        <w:t xml:space="preserve">A judgment creditor, for the purpose of determining the ability of the judgment debtor to satisfy the judgment, may subpoena the judgment debtor by disclosure subpoena to appear before a judge of the District Court.  The subpoenas shall be issued in blank by the clerks of the District Court.  The subpoena shall set forth the title of the action; the date and place where the judgment debtor is ordered to appear for the disclosure hearing; an order to produce any documents requested by the judgment creditor; a warning that failure to obey the subpoena may result in the arrest of that person or an order to the debtor's employer to withhold a portion of the debtor's wage, or both; and a notification that the debtor is entitled to be heard on issues concerning his ability to pay the judgment and whether his income or assets are exempt from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w:pPr>
        <w:jc w:val="both"/>
        <w:spacing w:before="100" w:after="0"/>
        <w:ind w:start="360"/>
        <w:ind w:firstLine="360"/>
      </w:pPr>
      <w:r>
        <w:rPr>
          <w:b/>
        </w:rPr>
        <w:t>2</w:t>
        <w:t xml:space="preserve">.  </w:t>
      </w:r>
      <w:r>
        <w:rPr>
          <w:b/>
        </w:rPr>
        <w:t xml:space="preserve">Witness subpoena.</w:t>
        <w:t xml:space="preserve"> </w:t>
      </w:r>
      <w:r>
        <w:t xml:space="preserve"> </w:t>
      </w:r>
      <w:r>
        <w:t xml:space="preserve">Any party may subpoena any witness to any hearing provided for in this chapter in the manner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429 (AMD). PL 1973, c. 477, §§1,2 (AMD). PL 1981, c. 389, §1 (RPR). PL 1987, c. 184,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§3122.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§3122.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§3122.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