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3574</w:t>
        <w:t xml:space="preserve">.  </w:t>
      </w:r>
      <w:r>
        <w:rPr>
          <w:b/>
        </w:rPr>
        <w:t xml:space="preserve">Value</w:t>
      </w:r>
    </w:p>
    <w:p>
      <w:pPr>
        <w:jc w:val="both"/>
        <w:spacing w:before="100" w:after="0"/>
        <w:ind w:start="360"/>
        <w:ind w:firstLine="360"/>
      </w:pPr>
      <w:r>
        <w:rPr>
          <w:b/>
        </w:rPr>
        <w:t>1</w:t>
        <w:t xml:space="preserve">.  </w:t>
      </w:r>
      <w:r>
        <w:rPr>
          <w:b/>
        </w:rPr>
        <w:t xml:space="preserve">Value defined.</w:t>
        <w:t xml:space="preserve"> </w:t>
      </w:r>
      <w:r>
        <w:t xml:space="preserve"> </w:t>
      </w:r>
      <w:r>
        <w:t xml:space="preserve">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Reasonably equivalent value; foreclosure.</w:t>
        <w:t xml:space="preserve"> </w:t>
      </w:r>
      <w:r>
        <w:t xml:space="preserve"> </w:t>
      </w:r>
      <w:r>
        <w:t xml:space="preserve">For the purposes of </w:t>
      </w:r>
      <w:r>
        <w:t>section 3575, subsection 1, paragraph B</w:t>
      </w:r>
      <w:r>
        <w:t xml:space="preserve">, and </w:t>
      </w:r>
      <w:r>
        <w:t>section 3576</w:t>
      </w:r>
      <w:r>
        <w:t xml:space="preserve">,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Contemporaneous transfer.</w:t>
        <w:t xml:space="preserve"> </w:t>
      </w:r>
      <w:r>
        <w:t xml:space="preserve"> </w:t>
      </w:r>
      <w:r>
        <w:t xml:space="preserve">A transfer is made for present value if the exchange between the debtor and the transferee is intended by them to be contemporaneous and is in fact substantially contemporaneous.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§3574.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§3574.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§3574.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