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Action on real covenants of first grantor by assignee of grantee</w:t>
      </w:r>
    </w:p>
    <w:p>
      <w:pPr>
        <w:jc w:val="both"/>
        <w:spacing w:before="100" w:after="100"/>
        <w:ind w:start="360"/>
        <w:ind w:firstLine="360"/>
      </w:pPr>
      <w:r>
        <w:rPr/>
      </w:r>
      <w:r>
        <w:rPr/>
      </w:r>
      <w:r>
        <w:t xml:space="preserve">The assignee of a grantee or his executor or administrator after eviction by an older and better title may maintain an action on a covenant of seizin or freedom from encumbrance contained in absolute deeds of the premises between the parties, and recover such damages as the first grantee might have recovered on eviction, upon filing, with his complaint or at such later time as the court permits, for the use of his grantor, a release of the covenants of his deed and of all causes of action thereon. The prior grantee cannot, in such case, release the covenants of the first grantor to the prejudice of his grantee.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Action on real covenants of first grantor by assignee of grantee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Action on real covenants of first grantor by assignee of grantee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 ACTION ON REAL COVENANTS OF FIRST GRANTOR BY ASSIGNEE OF GRANTEE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