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§4151. Property subject to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Property subject to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§4151. PROPERTY SUBJECT TO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