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§4157. SUCCESSIVE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