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§4251. Attachment of encumbered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Attachment of encumbered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§4251. ATTACHMENT OF ENCUMBERED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