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§4423. EXEMPT PROPERTY ACQUIRED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