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Continuance of action after officer's death</w:t>
      </w:r>
    </w:p>
    <w:p>
      <w:pPr>
        <w:jc w:val="both"/>
        <w:spacing w:before="100" w:after="100"/>
        <w:ind w:start="360"/>
        <w:ind w:firstLine="360"/>
      </w:pPr>
      <w:r>
        <w:rPr/>
      </w:r>
      <w:r>
        <w:rPr/>
      </w:r>
      <w:r>
        <w:t xml:space="preserve">If an officer authorized to serve precepts dies pending an action for or against him for official neglect or misconduct and no administration is granted on his estate within 3 months thereafter, the party for whose benefit the action is so prosecuted or defended may carry it on in his own name by entering his appearance and giving security for costs, as the court directs.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§4506. Continuance of action after officer's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Continuance of action after officer's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§4506. CONTINUANCE OF ACTION AFTER OFFICER'S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