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Methods of dissolution</w:t>
      </w:r>
    </w:p>
    <w:p>
      <w:pPr>
        <w:jc w:val="both"/>
        <w:spacing w:before="100" w:after="100"/>
        <w:ind w:start="360"/>
        <w:ind w:firstLine="360"/>
      </w:pPr>
      <w:r>
        <w:rPr/>
      </w:r>
      <w:r>
        <w:rPr/>
      </w:r>
      <w:r>
        <w:t xml:space="preserve">An attachment of real or personal property is dissolved when a judgment for the defendant has become final by expiration of the time for appeal, by dismissal of an appeal or on certificate of decision from the law court; by a decree of insolvency on his estate before a levy or sale on execution; by insolvency proceedings commenced within 4 months as provided in the insolvency law; by a reference of the action and all demands between the parties thereto by a rule of court and judgment on the report of the referees; and by an amendment of the complaint, by consent of parties, so as to embrace a larger demand than it originally did, and judgment for the plaintiff thereon, unless the record shows that no claims were allowed the plaintiff not originally stated in the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§4602. Methods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Methods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§4602. METHODS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