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4659</w:t>
        <w:t xml:space="preserve">.  </w:t>
      </w:r>
      <w:r>
        <w:rPr>
          <w:b/>
        </w:rPr>
        <w:t xml:space="preserve">Actions and executions; when directed into other counties</w:t>
      </w:r>
    </w:p>
    <w:p>
      <w:pPr>
        <w:jc w:val="both"/>
        <w:spacing w:before="100" w:after="100"/>
        <w:ind w:start="360"/>
        <w:ind w:firstLine="360"/>
      </w:pPr>
      <w:r>
        <w:rPr/>
      </w:r>
      <w:r>
        <w:rPr/>
      </w:r>
      <w:r>
        <w:t xml:space="preserve">In actions against bail, indorsers for costs, and proceedings after judgment against executors or administrators, and in all actions against 2 or more defendants before a Judge of a District Court, where the defendant or trustee resides out of the county where the proceedings are had, the judge may direct the summons, writ or execution to any proper officer of the county where such defendant or trustee resides, who shall charge fees of travel from the place of his residence to the place of service only, and postage paid by him.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§4659. Actions and executions; when directed into other counties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§4659. Actions and executions; when directed into other counties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§4659. ACTIONS AND EXECUTIONS; WHEN DIRECTED INTO OTHER COUNTIES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