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§4701. Execution stayed one year unless bond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Execution stayed one year unless bond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§4701. EXECUTION STAYED ONE YEAR UNLESS BOND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