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Executions on default judgment without bond, valid after one year</w:t>
      </w:r>
    </w:p>
    <w:p>
      <w:pPr>
        <w:jc w:val="both"/>
        <w:spacing w:before="100" w:after="100"/>
        <w:ind w:start="360"/>
        <w:ind w:firstLine="360"/>
      </w:pPr>
      <w:r>
        <w:rPr/>
      </w:r>
      <w:r>
        <w:rPr/>
      </w:r>
      <w:r>
        <w:t xml:space="preserve">Whenever through accident, inadvertence or mistake an execution has been issued by the clerk or judge of any court in any county upon a judgment rendered on default of an absent defendant in a personal action, within one year after the rendition of such judgment, without deposit of the bond specified in </w:t>
      </w:r>
      <w:r>
        <w:t>sections 4701</w:t>
      </w:r>
      <w:r>
        <w:t xml:space="preserve"> and </w:t>
      </w:r>
      <w:r>
        <w:t>4702</w:t>
      </w:r>
      <w:r>
        <w:t xml:space="preserve">, all proceedings upon or by virtue of such execution or judgment shall, after one year from the rendition of such judgment, have the same effect and validity as if the bond had been duly given, deposited and approved unless relief from the judgment has been sought within said year. If such relief from the judgment is denied, all such proceedings shall be valid as aforesaid after such dismissal.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§4703. Executions on default judgment without bond, valid after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Executions on default judgment without bond, valid after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§4703. EXECUTIONS ON DEFAULT JUDGMENT WITHOUT BOND, VALID AFTER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