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Mode of sale</w:t>
      </w:r>
    </w:p>
    <w:p>
      <w:pPr>
        <w:jc w:val="both"/>
        <w:spacing w:before="100" w:after="100"/>
        <w:ind w:start="360"/>
        <w:ind w:firstLine="360"/>
      </w:pPr>
      <w:r>
        <w:rPr/>
      </w:r>
      <w:r>
        <w:rPr/>
      </w:r>
      <w:r>
        <w:t xml:space="preserve">Current gold or silver coin may be taken on execution and paid to the creditor as money collected; and bank notes and all other evidences of debts, issued by any moneyed corporation and circulated as money, may be taken on execution and paid to the creditor at their par value if he will accept them; otherwise, they may be sold like other chattels.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§4801. Mode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Mode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§4801. MODE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