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4904</w:t>
        <w:t xml:space="preserve">.  </w:t>
      </w:r>
      <w:r>
        <w:rPr>
          <w:b/>
        </w:rPr>
        <w:t xml:space="preserve">Shares sold transferred; new certificate to purchaser; dividends</w:t>
      </w:r>
    </w:p>
    <w:p>
      <w:pPr>
        <w:jc w:val="both"/>
        <w:spacing w:before="100" w:after="100"/>
        <w:ind w:start="360"/>
        <w:ind w:firstLine="360"/>
      </w:pPr>
      <w:r>
        <w:rPr/>
      </w:r>
      <w:r>
        <w:rPr/>
      </w:r>
      <w:r>
        <w:t xml:space="preserve">Within 14 days after the sale, the officer shall leave an attested copy of the execution and of the return thereon with the officer of the company whose duty it is to record transfers of shares. The purchaser is thereupon entitled to a certificate or certificates of the shares bought by him, on paying the fees therefor and for recording the transfers. If such shares or interest were attached in the action in which the execution issued, he shall have all dividends which accrue after the attachment.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§4904. Shares sold transferred; new certificate to purchaser; dividends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§4904. Shares sold transferred; new certificate to purchaser; dividends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§4904. SHARES SOLD TRANSFERRED; NEW CERTIFICATE TO PURCHASER; DIVIDENDS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