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5501</w:t>
        <w:t xml:space="preserve">.  </w:t>
      </w:r>
      <w:r>
        <w:rPr>
          <w:b/>
        </w:rPr>
        <w:t xml:space="preserve">Right to writ</w:t>
      </w:r>
    </w:p>
    <w:p>
      <w:pPr>
        <w:jc w:val="both"/>
        <w:spacing w:before="100" w:after="100"/>
        <w:ind w:start="360"/>
        <w:ind w:firstLine="360"/>
      </w:pPr>
      <w:r>
        <w:rPr/>
      </w:r>
      <w:r>
        <w:rPr/>
      </w:r>
      <w:r>
        <w:t xml:space="preserve">Every person unlawfully deprived of his personal liberty by the act of another, except in the cases mentioned, shall of right have a writ of habeas corpus according to the provisions herein contained.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§5501. Right to writ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§5501. Right to writ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§5501. RIGHT TO WRIT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