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§6026. Dangerous conditions requiring minor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 Dangerous conditions requiring minor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§6026. DANGEROUS CONDITIONS REQUIRING MINOR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