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6037</w:t>
        <w:t xml:space="preserve">.  </w:t>
      </w:r>
      <w:r>
        <w:rPr>
          <w:b/>
        </w:rPr>
        <w:t xml:space="preserve">Exemptions</w:t>
      </w:r>
    </w:p>
    <w:p>
      <w:pPr>
        <w:jc w:val="both"/>
        <w:spacing w:before="100" w:after="0"/>
        <w:ind w:start="360"/>
        <w:ind w:firstLine="360"/>
      </w:pPr>
      <w:r>
        <w:rPr>
          <w:b/>
        </w:rPr>
        <w:t>1</w:t>
        <w:t xml:space="preserve">.  </w:t>
      </w:r>
      <w:r>
        <w:rPr>
          <w:b/>
        </w:rPr>
        <w:t xml:space="preserve">Federally guaranteed mortgages.</w:t>
        <w:t xml:space="preserve"> </w:t>
      </w:r>
      <w:r>
        <w:t xml:space="preserve"> </w:t>
      </w:r>
      <w:r>
        <w:t xml:space="preserve">Any of the provisions of this chapter relative to security deposits which may be in conflict with the terms of a mortgage guaranteed by the United States or any authority created under the laws thereof, shall not apply to security deposits held by a lessor who appears as the mortgagor in such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w:pPr>
        <w:jc w:val="both"/>
        <w:spacing w:before="100" w:after="0"/>
        <w:ind w:start="360"/>
        <w:ind w:firstLine="360"/>
      </w:pPr>
      <w:r>
        <w:rPr>
          <w:b/>
        </w:rPr>
        <w:t>2</w:t>
        <w:t xml:space="preserve">.  </w:t>
      </w:r>
      <w:r>
        <w:rPr>
          <w:b/>
        </w:rPr>
        <w:t xml:space="preserve">Owner-occupied buildings of 5 or fewer units.</w:t>
        <w:t xml:space="preserve"> </w:t>
      </w:r>
      <w:r>
        <w:t xml:space="preserve"> </w:t>
      </w:r>
      <w:r>
        <w:t xml:space="preserve">This chapter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