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6151</w:t>
        <w:t xml:space="preserve">.  </w:t>
      </w:r>
      <w:r>
        <w:rPr>
          <w:b/>
        </w:rPr>
        <w:t xml:space="preserve">Discharge or foreclosure by treasurer</w:t>
      </w:r>
    </w:p>
    <w:p>
      <w:pPr>
        <w:jc w:val="both"/>
        <w:spacing w:before="100" w:after="100"/>
        <w:ind w:start="360"/>
        <w:ind w:firstLine="360"/>
      </w:pPr>
      <w:r>
        <w:rPr/>
      </w:r>
      <w:r>
        <w:rPr/>
      </w:r>
      <w:r>
        <w:t xml:space="preserve">When a mortgage is made or assigned to the State, the Treasurer of State may demand and receive the money due thereon and discharge it by his deed of release. After breach of the condition, he may, in person or by his agent, make use of the like means for the purpose of foreclosure, which an individual mortgagee might, as prescribed in </w:t>
      </w:r>
      <w:r>
        <w:t>section 6321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552, §3 (AMD).]</w:t>
      </w:r>
    </w:p>
    <w:p>
      <w:pPr>
        <w:jc w:val="both"/>
        <w:spacing w:before="100" w:after="100"/>
        <w:ind w:start="360"/>
        <w:ind w:firstLine="360"/>
      </w:pPr>
      <w:r>
        <w:rPr/>
      </w:r>
      <w:r>
        <w:rPr/>
      </w:r>
      <w:r>
        <w:t xml:space="preserve">All mortgages in the name of the State and made under the Revised Statutes of 1944, chapter 30 shall be collected, discharged or foreclosed in accordance with this section.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§6151. Discharge or foreclosure by treasurer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§6151. Discharge or foreclosure by treasurer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§6151. DISCHARGE OR FORECLOSURE BY TREASURER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