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Action by executor or administrator</w:t>
      </w:r>
    </w:p>
    <w:p>
      <w:pPr>
        <w:jc w:val="both"/>
        <w:spacing w:before="100" w:after="100"/>
        <w:ind w:start="360"/>
        <w:ind w:firstLine="360"/>
      </w:pPr>
      <w:r>
        <w:rPr/>
      </w:r>
      <w:r>
        <w:rPr/>
      </w:r>
      <w:r>
        <w:t xml:space="preserve">When a mortgagee or person claiming under him is dead, the same proceedings to foreclose the mortgage may be had by his executor or administrator, declaring on the seizin of the deceased, as he might have had if living.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§6207. Action by executor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Action by executor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§6207. ACTION BY EXECUTOR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