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6306</w:t>
        <w:t xml:space="preserve">.  </w:t>
      </w:r>
      <w:r>
        <w:rPr>
          <w:b/>
        </w:rPr>
        <w:t xml:space="preserve">-- payment to clerk of court</w:t>
      </w:r>
    </w:p>
    <w:p>
      <w:pPr>
        <w:jc w:val="both"/>
        <w:spacing w:before="100" w:after="100"/>
        <w:ind w:start="360"/>
        <w:ind w:firstLine="360"/>
      </w:pPr>
      <w:r>
        <w:rPr/>
      </w:r>
      <w:r>
        <w:rPr/>
      </w:r>
      <w:r>
        <w:t xml:space="preserve">When a mortgagee or person claiming under a mortgagee residing out of the State, or whose residence is unknown to the party entitled to redeem, has commenced proceedings in accordance with this chapter, or when such a mortgagee or claimant having no tenant, agent or attorney in possession on whom service can be made has commenced proceedings in accordance with this chapter, in either case the party entitled to redeem may bring the civil action, as prescribed in </w:t>
      </w:r>
      <w:r>
        <w:t>section 6301</w:t>
      </w:r>
      <w:r>
        <w:t xml:space="preserve">, and pay at the same time to the clerk of the court and sum due, which payment has the same effect as a tender before the action. The court shall order such a notice to be given of the pendency of the action, as it judges proper.</w:t>
      </w:r>
      <w:r>
        <w:t xml:space="preserve">  </w:t>
      </w:r>
      <w:r xmlns:wp="http://schemas.openxmlformats.org/drawingml/2010/wordprocessingDrawing" xmlns:w15="http://schemas.microsoft.com/office/word/2012/wordml">
        <w:rPr>
          <w:rFonts w:ascii="Arial" w:hAnsi="Arial" w:cs="Arial"/>
          <w:sz w:val="22"/>
          <w:szCs w:val="22"/>
        </w:rPr>
        <w:t xml:space="preserve">[PL 2007, c. 391,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391,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§6306. -- payment to clerk of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§6306. -- payment to clerk of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§6306. -- PAYMENT TO CLERK OF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