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6322-A</w:t>
        <w:t xml:space="preserve">.  </w:t>
      </w:r>
      <w:r>
        <w:rPr>
          <w:b/>
        </w:rPr>
        <w:t xml:space="preserve">Notice to tenants of foreclosure judgment</w:t>
      </w:r>
    </w:p>
    <w:p>
      <w:pPr>
        <w:jc w:val="both"/>
        <w:spacing w:before="100" w:after="100"/>
        <w:ind w:start="360"/>
        <w:ind w:firstLine="360"/>
      </w:pPr>
      <w:r>
        <w:rPr/>
      </w:r>
      <w:r>
        <w:rPr/>
      </w:r>
      <w:r>
        <w:t xml:space="preserve">The mortgagee shall, after entry of final judgment in favor of the mortgagee, provide a copy of the foreclosure judgment to any residential tenant of the premises.  Upon request from a mortgagee, the mortgagor shall provide the name, address and other contact information for any residential tenant.  A residential tenant who receives written notice under this section is not required to file any responsive pleadings and must receive written notice of all subsequent proceedings including all matters through and including sale of the property.  The mortgagee shall provide written notice to the residential tenant if the mortgagee knows or should know by exercise of due diligence that the property is occupied as a residential rental unit.  Notice may be provided to a residential tenant by first class mail and registered mail at the residential tenant's last known address only after the mortgagee has made 2 good faith efforts to provide written notice to the residential tenant in person.   A residential tenant may not be evicted unless a mortgagee institutes an action for forcible entry and detainer pursuant to </w:t>
      </w:r>
      <w:r>
        <w:t>section 6001</w:t>
      </w:r>
      <w:r>
        <w:t xml:space="preserve"> after providing the notice required by this section and after the expiration of the redemption period.  This section may not be construed to prohibit an action for forcible entry and detainer in accordance with </w:t>
      </w:r>
      <w:r>
        <w:t>section 6001</w:t>
      </w:r>
      <w:r>
        <w:t xml:space="preserve"> for a reason that is not related to a judicial foreclosure action.  The failure to provide the notice required by this section does not affect the validity of the foreclosure sale.</w:t>
      </w:r>
      <w:r>
        <w:t xml:space="preserve">  </w:t>
      </w:r>
      <w:r xmlns:wp="http://schemas.openxmlformats.org/drawingml/2010/wordprocessingDrawing" xmlns:w15="http://schemas.microsoft.com/office/word/2012/wordml">
        <w:rPr>
          <w:rFonts w:ascii="Arial" w:hAnsi="Arial" w:cs="Arial"/>
          <w:sz w:val="22"/>
          <w:szCs w:val="22"/>
        </w:rPr>
        <w:t xml:space="preserve">[PL 2009, c. 476, Pt. B, §8 (AMD); PL 2009, c. 476,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§19 (NEW). PL 2009, c. 476, Pt. B, §8 (AMD). PL 2009, c. 476,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§6322-A. Notice to tenants of foreclosure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§6322-A. Notice to tenants of foreclosure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§6322-A. NOTICE TO TENANTS OF FORECLOSURE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