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6505</w:t>
        <w:t xml:space="preserve">.  </w:t>
      </w:r>
      <w:r>
        <w:rPr>
          <w:b/>
        </w:rPr>
        <w:t xml:space="preserve">Guardians and agents</w:t>
      </w:r>
    </w:p>
    <w:p>
      <w:pPr>
        <w:jc w:val="both"/>
        <w:spacing w:before="100" w:after="100"/>
        <w:ind w:start="360"/>
        <w:ind w:firstLine="360"/>
      </w:pPr>
      <w:r>
        <w:rPr/>
      </w:r>
      <w:r>
        <w:rPr/>
      </w:r>
      <w:r>
        <w:t xml:space="preserve">When an infant or mentally ill person, living in the State, has no guardian and appears to be interested, the court shall appoint a guardian ad litem for him and shall appoint an agent for persons interested who had been out of the State for one year before the action was commenced and do not return before judgment for the partition is to be made and have no actual notice of the actions.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§6505. Guardians and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§6505. Guardians and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§6505. GUARDIANS AND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