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6963</w:t>
        <w:t xml:space="preserve">.  </w:t>
      </w:r>
      <w:r>
        <w:rPr>
          <w:b/>
        </w:rPr>
        <w:t xml:space="preserve">Agreement on reference as to value of improvements</w:t>
      </w:r>
    </w:p>
    <w:p>
      <w:pPr>
        <w:jc w:val="both"/>
        <w:spacing w:before="100" w:after="100"/>
        <w:ind w:start="360"/>
        <w:ind w:firstLine="360"/>
      </w:pPr>
      <w:r>
        <w:rPr/>
      </w:r>
      <w:r>
        <w:rPr/>
      </w:r>
      <w:r>
        <w:t xml:space="preserve">When the parties agree that the value of the buildings and improvements on the land demanded, and the value of the land, shall be ascertained by persons named on the record for that purpose, their estimate, as reported by them and recorded, is equal in its effect to a verdict.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§6963. Agreement on reference as to value of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§6963. Agreement on reference as to value of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§6963. AGREEMENT ON REFERENCE AS TO VALUE OF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