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Allowance and execution</w:t>
      </w:r>
    </w:p>
    <w:p>
      <w:pPr>
        <w:jc w:val="both"/>
        <w:spacing w:before="100" w:after="100"/>
        <w:ind w:start="360"/>
        <w:ind w:firstLine="360"/>
      </w:pPr>
      <w:r>
        <w:rPr/>
      </w:r>
      <w:r>
        <w:rPr/>
      </w:r>
      <w:r>
        <w:t xml:space="preserve">Execution shall issue as in other cases for such damages as have been recovered and for full costs to the prevailing party. The court may order execution for costs to be issued against the goods and estate of a deceased party in the hands of his executor or administrator, or otherwise, according to the legal rights and liabilities of the parties.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§7051. Allowance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Allowance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§7051. ALLOWANCE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