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7211</w:t>
        <w:t xml:space="preserve">.  </w:t>
      </w:r>
      <w:r>
        <w:rPr>
          <w:b/>
        </w:rPr>
        <w:t xml:space="preserve">Information to recover escheats</w:t>
      </w:r>
    </w:p>
    <w:p>
      <w:pPr>
        <w:jc w:val="both"/>
        <w:spacing w:before="100" w:after="100"/>
        <w:ind w:start="360"/>
        <w:ind w:firstLine="360"/>
      </w:pPr>
      <w:r>
        <w:rPr/>
      </w:r>
      <w:r>
        <w:rPr/>
      </w:r>
      <w:r>
        <w:t xml:space="preserve">The Attorney General may file an information for recovering seizin by the State for any real estate supposed to have escheated to the State for want of legal heirs. The court shall order such notice thereon as it judges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§7211. Information to recover escheats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§7211. Information to recover escheats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§7211. INFORMATION TO RECOVER ESCHEATS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