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7359</w:t>
        <w:t xml:space="preserve">.  </w:t>
      </w:r>
      <w:r>
        <w:rPr>
          <w:b/>
        </w:rPr>
        <w:t xml:space="preserve">Production of plaintiff; release of defendant</w:t>
      </w:r>
    </w:p>
    <w:p>
      <w:pPr>
        <w:jc w:val="both"/>
        <w:spacing w:before="100" w:after="100"/>
        <w:ind w:start="360"/>
        <w:ind w:firstLine="360"/>
      </w:pPr>
      <w:r>
        <w:rPr/>
      </w:r>
      <w:r>
        <w:rPr/>
      </w:r>
      <w:r>
        <w:t xml:space="preserve">If the defendant, after the return of eloignment, produces the body of the plaintiff in court, the court shall deliver him from imprisonment, upon his giving the defendant such bond as hereinbefore in this chapter directed to be taken by the officer when the plaintiff is delivered by him; and for want thereof, he shall be committed to abide the judgment on the writ for replevying the plaintiff; and, in either case, the action shall be tried as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§7359. Production of plaintiff; release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§7359. Production of plaintiff; release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§7359. PRODUCTION OF PLAINTIFF; RELEASE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