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§7504. Death of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Death of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§7504. DEATH OF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