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§753-B. Actions against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§753-B. Actions against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§753-B. ACTIONS AGAINST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