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7558</w:t>
        <w:t xml:space="preserve">.  </w:t>
      </w:r>
      <w:r>
        <w:rPr>
          <w:b/>
        </w:rPr>
        <w:t xml:space="preserve">Damages and penalties</w:t>
      </w:r>
    </w:p>
    <w:p>
      <w:pPr>
        <w:jc w:val="both"/>
        <w:spacing w:before="100" w:after="100"/>
        <w:ind w:start="360"/>
        <w:ind w:firstLine="360"/>
      </w:pPr>
      <w:r>
        <w:rPr/>
      </w:r>
      <w:r>
        <w:rPr/>
      </w:r>
      <w:r>
        <w:t xml:space="preserve">Actions to recover any of the sums or penalties named in </w:t>
      </w:r>
      <w:r>
        <w:t>sections 7556</w:t>
      </w:r>
      <w:r>
        <w:t xml:space="preserve"> and </w:t>
      </w:r>
      <w:r>
        <w:t>7557</w:t>
      </w:r>
      <w:r>
        <w:t xml:space="preserve"> may be brought in the Superior Court or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§7558. Damages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§7558. Damages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§7558. DAMAGES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