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Death during period of disability</w:t>
      </w:r>
    </w:p>
    <w:p>
      <w:pPr>
        <w:jc w:val="both"/>
        <w:spacing w:before="100" w:after="100"/>
        <w:ind w:start="360"/>
        <w:ind w:firstLine="360"/>
      </w:pPr>
      <w:r>
        <w:rPr/>
      </w:r>
      <w:r>
        <w:rPr/>
      </w:r>
      <w:r>
        <w:t xml:space="preserve">If the person first entitled to make the entry or bring the action dies during the continuance of the disability and no determination or judgment has been had on his title or right of action, the entry may be made or action brought by his heirs, or other person claiming under him, at any time within 10 years after his death, notwithstanding the 20 years have elapsed; but no such further time for bringing the action or making the entry, beyond that hereinbefore prescribed, shall be allowed by reason of the disability of any other person.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Death during period of disability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Death during period of disability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§808. DEATH DURING PERIOD OF DISABILITY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