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§865. APPLICATION OF LIMITATIONS TO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