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869</w:t>
        <w:t xml:space="preserve">.  </w:t>
      </w:r>
      <w:r>
        <w:rPr>
          <w:b/>
        </w:rPr>
        <w:t xml:space="preserve">Action barred when no administrator 6 years after death</w:t>
      </w:r>
    </w:p>
    <w:p>
      <w:pPr>
        <w:jc w:val="both"/>
        <w:spacing w:before="100" w:after="100"/>
        <w:ind w:start="360"/>
        <w:ind w:firstLine="360"/>
      </w:pPr>
      <w:r>
        <w:rPr/>
      </w:r>
      <w:r>
        <w:rPr/>
      </w:r>
      <w:r>
        <w:t xml:space="preserve">Where no administration is had upon the estate of a deceased person within 6 years from the date of death of said decedent and no petition for administration is pending, all actions upon any claim against said decedent shall be barred.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§869. Action barred when no administrator 6 years after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§869. Action barred when no administrator 6 years after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§869. ACTION BARRED WHEN NO ADMINISTRATOR 6 YEARS AFTER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