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§870. Judgment by perjury; action on case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 Judgment by perjury; action on case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§870. JUDGMENT BY PERJURY; ACTION ON CASE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