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w:t>
        <w:t xml:space="preserve">.  </w:t>
      </w:r>
      <w:r>
        <w:rPr>
          <w:b/>
        </w:rPr>
        <w:t xml:space="preserve">Rules</w:t>
      </w:r>
    </w:p>
    <w:p>
      <w:pPr>
        <w:jc w:val="both"/>
        <w:spacing w:before="100" w:after="100"/>
        <w:ind w:start="360"/>
        <w:ind w:firstLine="360"/>
      </w:pPr>
      <w:r>
        <w:rPr/>
      </w:r>
      <w:r>
        <w:rPr/>
      </w:r>
      <w:r>
        <w:t xml:space="preserve">The Attorney General shall adopt rules implementing this chapter.  Evidence of a violation of a rule adopted by the Attorney General constitutes prima facie evidence of a bad faith assertion of patent infringement in any action brought under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§8702.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