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8801</w:t>
        <w:t xml:space="preserve">.  </w:t>
      </w:r>
      <w:r>
        <w:rPr>
          <w:b/>
        </w:rPr>
        <w:t xml:space="preserve">Short title</w:t>
      </w:r>
    </w:p>
    <w:p>
      <w:pPr>
        <w:jc w:val="both"/>
        <w:spacing w:before="100" w:after="100"/>
        <w:ind w:start="360"/>
        <w:ind w:firstLine="360"/>
      </w:pPr>
      <w:r>
        <w:rPr/>
      </w:r>
      <w:r>
        <w:rPr/>
      </w:r>
      <w:r>
        <w:t xml:space="preserve">This chapter may be known and cited as "the Uniform Foreign-country Money Judgments Recognition Act."</w:t>
      </w:r>
      <w:r>
        <w:t xml:space="preserve">  </w:t>
      </w:r>
      <w:r xmlns:wp="http://schemas.openxmlformats.org/drawingml/2010/wordprocessingDrawing" xmlns:w15="http://schemas.microsoft.com/office/word/2012/wordml">
        <w:rPr>
          <w:rFonts w:ascii="Arial" w:hAnsi="Arial" w:cs="Arial"/>
          <w:sz w:val="22"/>
          <w:szCs w:val="22"/>
        </w:rPr>
        <w:t xml:space="preserve">[PL 2021, c. 689,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§8801.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§8801.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§8801.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