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100"/>
        <w:ind w:start="360"/>
        <w:ind w:firstLine="360"/>
      </w:pPr>
      <w:r>
        <w:rPr>
          <w:b/>
        </w:rPr>
        <w:t>1</w:t>
        <w:t xml:space="preserve">.  </w:t>
      </w:r>
      <w:r>
        <w:rPr>
          <w:b/>
        </w:rPr>
        <w:t xml:space="preserve">Foreign country.</w:t>
        <w:t xml:space="preserve"> </w:t>
      </w:r>
      <w:r>
        <w:t xml:space="preserve"> </w:t>
      </w:r>
      <w:r>
        <w:t xml:space="preserve">"Foreign country" means a governmental unit other than:</w:t>
      </w:r>
    </w:p>
    <w:p>
      <w:pPr>
        <w:jc w:val="both"/>
        <w:spacing w:before="100" w:after="0"/>
        <w:ind w:start="720"/>
      </w:pPr>
      <w:r>
        <w:rPr/>
        <w:t>A</w:t>
        <w:t xml:space="preserve">.  </w:t>
      </w:r>
      <w:r>
        <w:rPr/>
      </w:r>
      <w:r>
        <w:t xml:space="preserve">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A state, district, commonwealth, territory or insular possession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Any other government with regard to which the decision in this State as to whether to recognize a judgment of that government’s courts is initially subject to determination under the full faith and credit clause of the United States Constitution, Article IV, Section 1.</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Foreign-country judgment.</w:t>
        <w:t xml:space="preserve"> </w:t>
      </w:r>
      <w:r>
        <w:t xml:space="preserve"> </w:t>
      </w:r>
      <w:r>
        <w:t xml:space="preserve">"Foreign-country judgment" means any judgment of a court of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